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A9" w:rsidRPr="00682CF9" w:rsidRDefault="00F03C4F" w:rsidP="005B4C4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QUE HACEMOS</w:t>
      </w:r>
    </w:p>
    <w:p w:rsidR="00B600A9" w:rsidRPr="00D62B56" w:rsidRDefault="00B600A9" w:rsidP="007901E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03C4F" w:rsidRPr="00D62B56" w:rsidRDefault="00F03C4F" w:rsidP="00F03C4F">
      <w:pPr>
        <w:jc w:val="both"/>
        <w:rPr>
          <w:rFonts w:ascii="Calibri" w:hAnsi="Calibri" w:cs="Calibri"/>
          <w:bCs/>
          <w:sz w:val="24"/>
          <w:szCs w:val="24"/>
        </w:rPr>
      </w:pPr>
      <w:r w:rsidRPr="00D62B56">
        <w:rPr>
          <w:rFonts w:ascii="Calibri" w:hAnsi="Calibri" w:cs="Calibri"/>
          <w:noProof/>
          <w:color w:val="5C7B00"/>
          <w:sz w:val="18"/>
          <w:szCs w:val="18"/>
          <w:lang w:val="es-NI" w:eastAsia="es-NI"/>
        </w:rPr>
        <w:drawing>
          <wp:anchor distT="0" distB="0" distL="114300" distR="114300" simplePos="0" relativeHeight="251659264" behindDoc="1" locked="0" layoutInCell="1" allowOverlap="1" wp14:anchorId="32700D09" wp14:editId="0FB0E9DD">
            <wp:simplePos x="0" y="0"/>
            <wp:positionH relativeFrom="column">
              <wp:posOffset>1739900</wp:posOffset>
            </wp:positionH>
            <wp:positionV relativeFrom="paragraph">
              <wp:posOffset>726440</wp:posOffset>
            </wp:positionV>
            <wp:extent cx="2042160" cy="3283585"/>
            <wp:effectExtent l="0" t="0" r="0" b="0"/>
            <wp:wrapNone/>
            <wp:docPr id="2" name="Imagen 2" descr="stock vector : Set of four vector elements: fire, water, air, 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3" descr="stock vector : Set of four vector elements: fire, water, air, ground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6" t="51701" r="58667" b="1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B56">
        <w:rPr>
          <w:rFonts w:ascii="Calibri" w:hAnsi="Calibri" w:cs="Calibri"/>
          <w:bCs/>
          <w:sz w:val="24"/>
          <w:szCs w:val="24"/>
        </w:rPr>
        <w:t>La Red de Agua y Saneamiento de Nicaragua (RASNIC) es una comunidad de organizaciones no gubernamentales nacionales, e internacionales, instituciones del Estado y agencias internacionales de cooperación, que trabaja para mejorar el acceso de los servicios de agua potable y saneamiento a la población nicaragüense, particularmente de la población rural. La Red centra sus esfuerzos y recursos en el agua y saneamiento aunque sus organizaciones miembro inciden en otros ámbitos tales como: agricultura sostenible, gestión integral del riesgo, microempresas, educación, construcción, medio ambiente, derechos humanos, entre otros.</w:t>
      </w:r>
    </w:p>
    <w:p w:rsidR="00F03C4F" w:rsidRPr="00D62B56" w:rsidRDefault="00F03C4F" w:rsidP="00F03C4F">
      <w:pPr>
        <w:jc w:val="both"/>
        <w:rPr>
          <w:rFonts w:ascii="Calibri" w:hAnsi="Calibri" w:cs="Calibri"/>
          <w:bCs/>
          <w:strike/>
          <w:sz w:val="24"/>
          <w:szCs w:val="24"/>
        </w:rPr>
      </w:pPr>
      <w:r w:rsidRPr="00D62B56">
        <w:rPr>
          <w:rFonts w:ascii="Calibri" w:hAnsi="Calibri" w:cs="Calibri"/>
          <w:bCs/>
          <w:sz w:val="24"/>
          <w:szCs w:val="24"/>
        </w:rPr>
        <w:t>Durante el periodo 2008–2012, la Red evolucionó institucionalmente logrando fortalecer su labor interna, propiciar la coordinación intersectorial, potenciar sus capacidades y acceder a recursos financieros para su funcionamiento. En estos años, la Red dispuso de un Plan Estratégico (2008–2012) que contribuyó a alcanzar el crecimiento experimentado; al finalizar ese periodo, el Comité Ejecutivo de RASNIC decidió continuar el proceso de planificación estratégica, disponiéndose a la elaboración de un nuevo plan para guiar el trabajo de la Red durante el periodo 2013-2017.</w:t>
      </w:r>
    </w:p>
    <w:p w:rsidR="00A01C92" w:rsidRPr="00D62B56" w:rsidRDefault="00A01C92" w:rsidP="00A01C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2B56">
        <w:rPr>
          <w:rFonts w:ascii="Calibri" w:hAnsi="Calibri" w:cs="Calibri"/>
          <w:sz w:val="24"/>
          <w:szCs w:val="24"/>
        </w:rPr>
        <w:t>El Plan Estratégico del Grupo Impulsor de Saneamiento Integral (GISI) p</w:t>
      </w:r>
      <w:r w:rsidR="00D62B56">
        <w:rPr>
          <w:rFonts w:ascii="Calibri" w:hAnsi="Calibri" w:cs="Calibri"/>
          <w:sz w:val="24"/>
          <w:szCs w:val="24"/>
        </w:rPr>
        <w:t xml:space="preserve">ara el período 2011-2015, </w:t>
      </w:r>
      <w:r w:rsidRPr="00D62B56">
        <w:rPr>
          <w:rFonts w:ascii="Calibri" w:hAnsi="Calibri" w:cs="Calibri"/>
          <w:sz w:val="24"/>
          <w:szCs w:val="24"/>
        </w:rPr>
        <w:t>orienta sus acciones dentro de los lineamientos estratégicos de largo plazo establecidos por la Misión y la Visión de la Red de Agua y Saneamiento de Nicaragua (RASNIC).</w:t>
      </w:r>
    </w:p>
    <w:p w:rsidR="00682CF9" w:rsidRPr="00D62B56" w:rsidRDefault="00682CF9" w:rsidP="00682C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82CF9" w:rsidRPr="00D62B56" w:rsidRDefault="003D7D4D" w:rsidP="00682CF9">
      <w:pPr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D62B56">
        <w:rPr>
          <w:rFonts w:ascii="Calibri" w:hAnsi="Calibri" w:cs="Calibri"/>
          <w:b/>
          <w:color w:val="0070C0"/>
          <w:sz w:val="24"/>
          <w:szCs w:val="24"/>
        </w:rPr>
        <w:t>OBJETIVOS ESTRATÉGICOS</w:t>
      </w:r>
      <w:r w:rsidR="00D62B56" w:rsidRPr="00D62B56">
        <w:rPr>
          <w:rFonts w:ascii="Calibri" w:hAnsi="Calibri" w:cs="Calibri"/>
          <w:b/>
          <w:color w:val="0070C0"/>
          <w:sz w:val="24"/>
          <w:szCs w:val="24"/>
        </w:rPr>
        <w:t xml:space="preserve"> DE RASNIC</w:t>
      </w:r>
    </w:p>
    <w:p w:rsidR="00682CF9" w:rsidRPr="00D62B56" w:rsidRDefault="00682CF9" w:rsidP="00682CF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color w:val="000000"/>
          <w:sz w:val="24"/>
          <w:szCs w:val="24"/>
        </w:rPr>
      </w:pPr>
    </w:p>
    <w:p w:rsidR="00D62B56" w:rsidRP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D62B56">
        <w:rPr>
          <w:rFonts w:ascii="Calibri" w:eastAsia="Arial Unicode MS" w:hAnsi="Calibri" w:cs="Calibri"/>
          <w:b/>
          <w:sz w:val="24"/>
          <w:szCs w:val="24"/>
        </w:rPr>
        <w:t>Objetivo Estratégico 1.</w:t>
      </w:r>
      <w:r w:rsidRPr="00D62B56">
        <w:rPr>
          <w:rFonts w:ascii="Calibri" w:eastAsia="Arial Unicode MS" w:hAnsi="Calibri" w:cs="Calibri"/>
          <w:sz w:val="24"/>
          <w:szCs w:val="24"/>
        </w:rPr>
        <w:t xml:space="preserve"> RASNIC  facilita y promueve la mejora del conocimiento  en temas referidos al sector agua y saneamiento con énfasis en el ámbito local.</w:t>
      </w:r>
    </w:p>
    <w:p w:rsid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D62B56" w:rsidRP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D62B56">
        <w:rPr>
          <w:rFonts w:ascii="Calibri" w:eastAsia="Arial Unicode MS" w:hAnsi="Calibri" w:cs="Calibri"/>
          <w:b/>
          <w:sz w:val="24"/>
          <w:szCs w:val="24"/>
        </w:rPr>
        <w:t>Objetivo Estratégico 2.</w:t>
      </w:r>
      <w:r w:rsidRPr="00D62B56">
        <w:rPr>
          <w:rFonts w:ascii="Calibri" w:eastAsia="Arial Unicode MS" w:hAnsi="Calibri" w:cs="Calibri"/>
          <w:sz w:val="24"/>
          <w:szCs w:val="24"/>
        </w:rPr>
        <w:t xml:space="preserve"> RASNIC impulsa y promueve acciones de incidencia  a nivel nacional, en temas relevantes referidos al sector de agua y saneamiento, que contribuyan a incrementar el acceso de calidad y enfoque de integralidad a los servicios de agua y saneamiento con énfasis en el sector rural y peri urbano del país.</w:t>
      </w:r>
    </w:p>
    <w:p w:rsid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D62B56" w:rsidRP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D62B56">
        <w:rPr>
          <w:rFonts w:ascii="Calibri" w:eastAsia="Arial Unicode MS" w:hAnsi="Calibri" w:cs="Calibri"/>
          <w:b/>
          <w:sz w:val="24"/>
          <w:szCs w:val="24"/>
        </w:rPr>
        <w:t>Objetivo Estratégico 3.</w:t>
      </w:r>
      <w:r w:rsidRPr="00D62B56">
        <w:rPr>
          <w:rFonts w:ascii="Calibri" w:eastAsia="Arial Unicode MS" w:hAnsi="Calibri" w:cs="Calibri"/>
          <w:sz w:val="24"/>
          <w:szCs w:val="24"/>
        </w:rPr>
        <w:t xml:space="preserve"> RASNIC impulsa y promueve acciones de incidencia a nivel regional que mejoren el desempeño del sector agua y saneamiento en Centroamérica.</w:t>
      </w:r>
    </w:p>
    <w:p w:rsid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682CF9" w:rsidRPr="00D62B56" w:rsidRDefault="00D62B56" w:rsidP="00D62B56">
      <w:pPr>
        <w:tabs>
          <w:tab w:val="left" w:pos="1440"/>
        </w:tabs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 w:rsidRPr="00D62B56">
        <w:rPr>
          <w:rFonts w:ascii="Calibri" w:eastAsia="Arial Unicode MS" w:hAnsi="Calibri" w:cs="Calibri"/>
          <w:b/>
          <w:sz w:val="24"/>
          <w:szCs w:val="24"/>
        </w:rPr>
        <w:t>Objetivo Estratégico 4.</w:t>
      </w:r>
      <w:r>
        <w:rPr>
          <w:rFonts w:ascii="Calibri" w:eastAsia="Arial Unicode MS" w:hAnsi="Calibri" w:cs="Calibri"/>
          <w:sz w:val="24"/>
          <w:szCs w:val="24"/>
        </w:rPr>
        <w:t xml:space="preserve"> </w:t>
      </w:r>
      <w:r w:rsidRPr="00D62B56">
        <w:rPr>
          <w:rFonts w:ascii="Calibri" w:eastAsia="Arial Unicode MS" w:hAnsi="Calibri" w:cs="Calibri"/>
          <w:sz w:val="24"/>
          <w:szCs w:val="24"/>
        </w:rPr>
        <w:t>RASNIC mejora su desempeño gerencial y su marco legal en coherencia con sus valores institucionales.</w:t>
      </w:r>
    </w:p>
    <w:sectPr w:rsidR="00682CF9" w:rsidRPr="00D62B56" w:rsidSect="00682CF9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F2" w:rsidRDefault="00F834F2" w:rsidP="00B600A9">
      <w:pPr>
        <w:spacing w:after="0" w:line="240" w:lineRule="auto"/>
      </w:pPr>
      <w:r>
        <w:separator/>
      </w:r>
    </w:p>
  </w:endnote>
  <w:endnote w:type="continuationSeparator" w:id="0">
    <w:p w:rsidR="00F834F2" w:rsidRDefault="00F834F2" w:rsidP="00B6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F2" w:rsidRDefault="00F834F2" w:rsidP="00B600A9">
      <w:pPr>
        <w:spacing w:after="0" w:line="240" w:lineRule="auto"/>
      </w:pPr>
      <w:r>
        <w:separator/>
      </w:r>
    </w:p>
  </w:footnote>
  <w:footnote w:type="continuationSeparator" w:id="0">
    <w:p w:rsidR="00F834F2" w:rsidRDefault="00F834F2" w:rsidP="00B6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A9" w:rsidRDefault="00B600A9" w:rsidP="00B600A9">
    <w:pPr>
      <w:pStyle w:val="Encabezado"/>
      <w:rPr>
        <w:rFonts w:cstheme="minorHAnsi"/>
        <w:sz w:val="28"/>
        <w:szCs w:val="2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10"/>
    </w:tblGrid>
    <w:tr w:rsidR="00B600A9" w:rsidTr="00CC49BD">
      <w:tc>
        <w:tcPr>
          <w:tcW w:w="1668" w:type="dxa"/>
        </w:tcPr>
        <w:p w:rsidR="00B600A9" w:rsidRDefault="00B600A9" w:rsidP="00CC49BD">
          <w:pPr>
            <w:pStyle w:val="Encabezado"/>
          </w:pPr>
          <w:r w:rsidRPr="009C333F">
            <w:rPr>
              <w:noProof/>
              <w:lang w:val="es-NI" w:eastAsia="es-NI"/>
            </w:rPr>
            <w:drawing>
              <wp:inline distT="0" distB="0" distL="0" distR="0" wp14:anchorId="6176D9F6" wp14:editId="279498F2">
                <wp:extent cx="906780" cy="73152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</w:tcPr>
        <w:p w:rsidR="00B600A9" w:rsidRDefault="00B600A9" w:rsidP="00CC49BD">
          <w:pPr>
            <w:pStyle w:val="Encabezado"/>
            <w:rPr>
              <w:rFonts w:cstheme="minorHAnsi"/>
              <w:sz w:val="28"/>
              <w:szCs w:val="28"/>
            </w:rPr>
          </w:pPr>
        </w:p>
        <w:p w:rsidR="00B600A9" w:rsidRDefault="00B600A9" w:rsidP="00CC49BD">
          <w:pPr>
            <w:pStyle w:val="Encabezado"/>
            <w:rPr>
              <w:rFonts w:cstheme="minorHAnsi"/>
              <w:sz w:val="28"/>
              <w:szCs w:val="28"/>
            </w:rPr>
          </w:pPr>
        </w:p>
        <w:p w:rsidR="00B600A9" w:rsidRDefault="00B600A9" w:rsidP="00CC49BD">
          <w:pPr>
            <w:pStyle w:val="Encabezado"/>
          </w:pPr>
          <w:r w:rsidRPr="00FA11E6">
            <w:rPr>
              <w:rFonts w:cstheme="minorHAnsi"/>
              <w:sz w:val="28"/>
              <w:szCs w:val="28"/>
            </w:rPr>
            <w:t>Red de Agua y Saneamiento de Nicaragua</w:t>
          </w:r>
        </w:p>
      </w:tc>
    </w:tr>
  </w:tbl>
  <w:p w:rsidR="00B600A9" w:rsidRDefault="00B600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8.65pt;height:92.1pt" o:bullet="t">
        <v:imagedata r:id="rId1" o:title=""/>
      </v:shape>
    </w:pict>
  </w:numPicBullet>
  <w:abstractNum w:abstractNumId="0">
    <w:nsid w:val="0C350267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A4D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2070"/>
    <w:multiLevelType w:val="hybridMultilevel"/>
    <w:tmpl w:val="DDD00F76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1988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061B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317E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5B30"/>
    <w:multiLevelType w:val="hybridMultilevel"/>
    <w:tmpl w:val="AA0ADE9A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97F6F"/>
    <w:multiLevelType w:val="hybridMultilevel"/>
    <w:tmpl w:val="C9CC42A2"/>
    <w:lvl w:ilvl="0" w:tplc="2C563D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1F4C"/>
    <w:multiLevelType w:val="hybridMultilevel"/>
    <w:tmpl w:val="D540A2B6"/>
    <w:lvl w:ilvl="0" w:tplc="080A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2"/>
    <w:rsid w:val="001261D7"/>
    <w:rsid w:val="002374B5"/>
    <w:rsid w:val="0028614F"/>
    <w:rsid w:val="00290D15"/>
    <w:rsid w:val="003D7D4D"/>
    <w:rsid w:val="005B4C42"/>
    <w:rsid w:val="00682CF9"/>
    <w:rsid w:val="006C2345"/>
    <w:rsid w:val="007901EA"/>
    <w:rsid w:val="008479B3"/>
    <w:rsid w:val="00876C25"/>
    <w:rsid w:val="008B0F9C"/>
    <w:rsid w:val="008C29D6"/>
    <w:rsid w:val="00937495"/>
    <w:rsid w:val="00A01C92"/>
    <w:rsid w:val="00A84660"/>
    <w:rsid w:val="00B12747"/>
    <w:rsid w:val="00B13AD3"/>
    <w:rsid w:val="00B600A9"/>
    <w:rsid w:val="00B74D2C"/>
    <w:rsid w:val="00C62434"/>
    <w:rsid w:val="00CF4FD4"/>
    <w:rsid w:val="00D62B56"/>
    <w:rsid w:val="00DB3E23"/>
    <w:rsid w:val="00DF5306"/>
    <w:rsid w:val="00E447A5"/>
    <w:rsid w:val="00E60EAB"/>
    <w:rsid w:val="00EF35D6"/>
    <w:rsid w:val="00F03C4F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42"/>
    <w:rPr>
      <w:rFonts w:eastAsiaTheme="minorEastAsia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C42"/>
    <w:pPr>
      <w:ind w:left="720"/>
      <w:contextualSpacing/>
    </w:pPr>
    <w:rPr>
      <w:rFonts w:ascii="Calibri" w:eastAsia="Calibri" w:hAnsi="Calibri" w:cs="Times New Roman"/>
      <w:lang w:val="es-NI" w:eastAsia="en-US"/>
    </w:rPr>
  </w:style>
  <w:style w:type="table" w:styleId="Tablaconcuadrcula">
    <w:name w:val="Table Grid"/>
    <w:basedOn w:val="Tablanormal"/>
    <w:uiPriority w:val="59"/>
    <w:rsid w:val="005B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0A9"/>
    <w:rPr>
      <w:rFonts w:eastAsiaTheme="minorEastAsia"/>
      <w:lang w:val="es-MX" w:eastAsia="ko-KR"/>
    </w:rPr>
  </w:style>
  <w:style w:type="paragraph" w:styleId="Piedepgina">
    <w:name w:val="footer"/>
    <w:basedOn w:val="Normal"/>
    <w:link w:val="PiedepginaCar"/>
    <w:uiPriority w:val="99"/>
    <w:unhideWhenUsed/>
    <w:rsid w:val="00B60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0A9"/>
    <w:rPr>
      <w:rFonts w:eastAsiaTheme="minorEastAsia"/>
      <w:lang w:val="es-MX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0A9"/>
    <w:rPr>
      <w:rFonts w:ascii="Tahoma" w:eastAsiaTheme="minorEastAsia" w:hAnsi="Tahoma" w:cs="Tahoma"/>
      <w:sz w:val="16"/>
      <w:szCs w:val="16"/>
      <w:lang w:val="es-MX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42"/>
    <w:rPr>
      <w:rFonts w:eastAsiaTheme="minorEastAsia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C42"/>
    <w:pPr>
      <w:ind w:left="720"/>
      <w:contextualSpacing/>
    </w:pPr>
    <w:rPr>
      <w:rFonts w:ascii="Calibri" w:eastAsia="Calibri" w:hAnsi="Calibri" w:cs="Times New Roman"/>
      <w:lang w:val="es-NI" w:eastAsia="en-US"/>
    </w:rPr>
  </w:style>
  <w:style w:type="table" w:styleId="Tablaconcuadrcula">
    <w:name w:val="Table Grid"/>
    <w:basedOn w:val="Tablanormal"/>
    <w:uiPriority w:val="59"/>
    <w:rsid w:val="005B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0A9"/>
    <w:rPr>
      <w:rFonts w:eastAsiaTheme="minorEastAsia"/>
      <w:lang w:val="es-MX" w:eastAsia="ko-KR"/>
    </w:rPr>
  </w:style>
  <w:style w:type="paragraph" w:styleId="Piedepgina">
    <w:name w:val="footer"/>
    <w:basedOn w:val="Normal"/>
    <w:link w:val="PiedepginaCar"/>
    <w:uiPriority w:val="99"/>
    <w:unhideWhenUsed/>
    <w:rsid w:val="00B60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0A9"/>
    <w:rPr>
      <w:rFonts w:eastAsiaTheme="minorEastAsia"/>
      <w:lang w:val="es-MX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0A9"/>
    <w:rPr>
      <w:rFonts w:ascii="Tahoma" w:eastAsiaTheme="minorEastAsia" w:hAnsi="Tahoma" w:cs="Tahoma"/>
      <w:sz w:val="16"/>
      <w:szCs w:val="16"/>
      <w:lang w:val="es-MX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2015-10-22T20:05:00Z</dcterms:created>
  <dcterms:modified xsi:type="dcterms:W3CDTF">2015-10-22T20:05:00Z</dcterms:modified>
</cp:coreProperties>
</file>